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9A1" w:rsidRPr="004219A1" w:rsidRDefault="004219A1" w:rsidP="004219A1">
      <w:pPr>
        <w:pStyle w:val="Titre2"/>
        <w:shd w:val="clear" w:color="auto" w:fill="FFFFFF"/>
        <w:jc w:val="both"/>
        <w:rPr>
          <w:rFonts w:ascii="Georgia" w:hAnsi="Georgia"/>
          <w:color w:val="333333"/>
          <w:sz w:val="28"/>
          <w:szCs w:val="28"/>
        </w:rPr>
      </w:pPr>
      <w:r w:rsidRPr="004219A1">
        <w:rPr>
          <w:rFonts w:ascii="Georgia" w:hAnsi="Georgia"/>
          <w:color w:val="333333"/>
          <w:sz w:val="28"/>
          <w:szCs w:val="28"/>
        </w:rPr>
        <w:t>Article paru le 1</w:t>
      </w:r>
      <w:r w:rsidRPr="004219A1">
        <w:rPr>
          <w:rFonts w:ascii="Georgia" w:hAnsi="Georgia"/>
          <w:color w:val="333333"/>
          <w:sz w:val="28"/>
          <w:szCs w:val="28"/>
          <w:vertAlign w:val="superscript"/>
        </w:rPr>
        <w:t>er</w:t>
      </w:r>
      <w:r w:rsidRPr="004219A1">
        <w:rPr>
          <w:rFonts w:ascii="Georgia" w:hAnsi="Georgia"/>
          <w:color w:val="333333"/>
          <w:sz w:val="28"/>
          <w:szCs w:val="28"/>
        </w:rPr>
        <w:t xml:space="preserve"> juillet 2013 sur le site </w:t>
      </w:r>
      <w:hyperlink r:id="rId7" w:history="1">
        <w:r w:rsidRPr="004219A1">
          <w:rPr>
            <w:rStyle w:val="Lienhypertexte"/>
            <w:rFonts w:ascii="Georgia" w:hAnsi="Georgia"/>
            <w:sz w:val="28"/>
            <w:szCs w:val="28"/>
          </w:rPr>
          <w:t>www.tdg.ch</w:t>
        </w:r>
      </w:hyperlink>
      <w:r w:rsidRPr="004219A1">
        <w:rPr>
          <w:rFonts w:ascii="Georgia" w:hAnsi="Georgia"/>
          <w:color w:val="333333"/>
          <w:sz w:val="28"/>
          <w:szCs w:val="28"/>
        </w:rPr>
        <w:t xml:space="preserve"> </w:t>
      </w:r>
    </w:p>
    <w:p w:rsidR="004219A1" w:rsidRDefault="004219A1" w:rsidP="004219A1">
      <w:pPr>
        <w:pStyle w:val="Titre2"/>
        <w:shd w:val="clear" w:color="auto" w:fill="FFFFFF"/>
        <w:jc w:val="both"/>
        <w:rPr>
          <w:rFonts w:ascii="Georgia" w:hAnsi="Georgia"/>
          <w:color w:val="333333"/>
          <w:sz w:val="39"/>
          <w:szCs w:val="39"/>
        </w:rPr>
      </w:pPr>
      <w:r>
        <w:rPr>
          <w:rFonts w:ascii="Georgia" w:hAnsi="Georgia"/>
          <w:color w:val="333333"/>
          <w:sz w:val="39"/>
          <w:szCs w:val="39"/>
        </w:rPr>
        <w:t>La Suisse championne de l'innovation mondiale</w:t>
      </w:r>
    </w:p>
    <w:p w:rsidR="004219A1" w:rsidRDefault="004219A1" w:rsidP="004219A1">
      <w:pPr>
        <w:pStyle w:val="teaser1"/>
        <w:shd w:val="clear" w:color="auto" w:fill="FFFFFF"/>
        <w:jc w:val="both"/>
        <w:rPr>
          <w:rFonts w:ascii="Georgia" w:hAnsi="Georgia"/>
          <w:color w:val="333333"/>
          <w:sz w:val="24"/>
          <w:szCs w:val="24"/>
        </w:rPr>
      </w:pPr>
      <w:r>
        <w:rPr>
          <w:rFonts w:ascii="Georgia" w:hAnsi="Georgia"/>
          <w:color w:val="333333"/>
          <w:sz w:val="24"/>
          <w:szCs w:val="24"/>
        </w:rPr>
        <w:t>Devant la Suède et le Royaume-Uni, la Suisse est la nation la plus innovante selon le classement de l'OMPI.</w:t>
      </w:r>
    </w:p>
    <w:p w:rsidR="004219A1" w:rsidRDefault="004219A1" w:rsidP="004219A1">
      <w:pPr>
        <w:shd w:val="clear" w:color="auto" w:fill="FFFFFF"/>
        <w:spacing w:before="100" w:beforeAutospacing="1" w:after="360" w:line="360" w:lineRule="atLeast"/>
        <w:jc w:val="both"/>
        <w:rPr>
          <w:rFonts w:ascii="Georgia" w:hAnsi="Georgia"/>
          <w:color w:val="333333"/>
          <w:sz w:val="24"/>
          <w:szCs w:val="24"/>
        </w:rPr>
      </w:pPr>
      <w:r>
        <w:rPr>
          <w:rFonts w:ascii="Georgia" w:hAnsi="Georgia"/>
          <w:color w:val="333333"/>
        </w:rPr>
        <w:t>La Suisse conserve son premier rang mondial pour l'in</w:t>
      </w:r>
      <w:bookmarkStart w:id="0" w:name="_GoBack"/>
      <w:bookmarkEnd w:id="0"/>
      <w:r>
        <w:rPr>
          <w:rFonts w:ascii="Georgia" w:hAnsi="Georgia"/>
          <w:color w:val="333333"/>
        </w:rPr>
        <w:t>novation, devant la Suède, le Royaume-Uni, les Pays-Bas et les Etats-Unis, selon le classement annuel publié lundi par l'</w:t>
      </w:r>
      <w:hyperlink r:id="rId8" w:tgtFrame="_blank" w:history="1">
        <w:r>
          <w:rPr>
            <w:rStyle w:val="Lienhypertexte"/>
            <w:rFonts w:eastAsiaTheme="majorEastAsia"/>
            <w:color w:val="000000"/>
          </w:rPr>
          <w:t>Organisation mondiale de la propriété intellectuelle</w:t>
        </w:r>
      </w:hyperlink>
      <w:r>
        <w:rPr>
          <w:rFonts w:ascii="Georgia" w:hAnsi="Georgia"/>
          <w:color w:val="333333"/>
        </w:rPr>
        <w:t xml:space="preserve"> (OMPI).</w:t>
      </w:r>
    </w:p>
    <w:p w:rsidR="004219A1" w:rsidRDefault="004219A1" w:rsidP="004219A1">
      <w:pPr>
        <w:shd w:val="clear" w:color="auto" w:fill="FFFFFF"/>
        <w:spacing w:before="100" w:beforeAutospacing="1" w:after="360" w:line="360" w:lineRule="atLeast"/>
        <w:jc w:val="both"/>
        <w:rPr>
          <w:rFonts w:ascii="Georgia" w:hAnsi="Georgia"/>
          <w:color w:val="333333"/>
        </w:rPr>
      </w:pPr>
      <w:r>
        <w:rPr>
          <w:rFonts w:ascii="Georgia" w:hAnsi="Georgia"/>
          <w:color w:val="333333"/>
        </w:rPr>
        <w:t>La Finlande est au 6e rang, devant Hong Kong, Singapour, le Danemark et l'Irlande, selon l'indice de l'innovation basé sur 84 indicateurs. Les résultats de la Suisse et de la Suède montrent que ces deux pays, qui sont systématiquement classés dans la liste des 25 premiers, sont en tête pour tous les composants de l'indice.</w:t>
      </w:r>
    </w:p>
    <w:p w:rsidR="004219A1" w:rsidRDefault="004219A1" w:rsidP="004219A1">
      <w:pPr>
        <w:shd w:val="clear" w:color="auto" w:fill="FFFFFF"/>
        <w:spacing w:before="100" w:beforeAutospacing="1" w:after="360" w:line="360" w:lineRule="atLeast"/>
        <w:jc w:val="both"/>
        <w:rPr>
          <w:rFonts w:ascii="Georgia" w:hAnsi="Georgia"/>
          <w:color w:val="333333"/>
        </w:rPr>
      </w:pPr>
      <w:r>
        <w:rPr>
          <w:rFonts w:ascii="Georgia" w:hAnsi="Georgia"/>
          <w:b/>
          <w:bCs/>
          <w:color w:val="333333"/>
        </w:rPr>
        <w:t>Multiplication des pôles</w:t>
      </w:r>
    </w:p>
    <w:p w:rsidR="004219A1" w:rsidRDefault="004219A1" w:rsidP="004219A1">
      <w:pPr>
        <w:shd w:val="clear" w:color="auto" w:fill="FFFFFF"/>
        <w:spacing w:before="100" w:beforeAutospacing="1" w:after="360" w:line="360" w:lineRule="atLeast"/>
        <w:jc w:val="both"/>
        <w:rPr>
          <w:rFonts w:ascii="Georgia" w:hAnsi="Georgia"/>
          <w:color w:val="333333"/>
        </w:rPr>
      </w:pPr>
      <w:r>
        <w:rPr>
          <w:rFonts w:ascii="Georgia" w:hAnsi="Georgia"/>
          <w:color w:val="333333"/>
        </w:rPr>
        <w:t xml:space="preserve">Malgré la crise économique, l'innovation se porte bien. Les dépenses en recherche-développement dépassent les niveaux de 2008 dans la plupart des pays, et des pôles d'innovation prospèrent au niveau local, selon l'étude publiée à Genève par l'OMPI en collaboration avec l'Université </w:t>
      </w:r>
      <w:proofErr w:type="spellStart"/>
      <w:r>
        <w:rPr>
          <w:rFonts w:ascii="Georgia" w:hAnsi="Georgia"/>
          <w:color w:val="333333"/>
        </w:rPr>
        <w:t>Cornell</w:t>
      </w:r>
      <w:proofErr w:type="spellEnd"/>
      <w:r>
        <w:rPr>
          <w:rFonts w:ascii="Georgia" w:hAnsi="Georgia"/>
          <w:color w:val="333333"/>
        </w:rPr>
        <w:t xml:space="preserve"> et l'INSEAD.</w:t>
      </w:r>
    </w:p>
    <w:p w:rsidR="004219A1" w:rsidRDefault="004219A1" w:rsidP="004219A1">
      <w:pPr>
        <w:shd w:val="clear" w:color="auto" w:fill="FFFFFF"/>
        <w:spacing w:before="100" w:beforeAutospacing="1" w:after="360" w:line="360" w:lineRule="atLeast"/>
        <w:jc w:val="both"/>
        <w:rPr>
          <w:rFonts w:ascii="Georgia" w:hAnsi="Georgia"/>
          <w:color w:val="333333"/>
        </w:rPr>
      </w:pPr>
      <w:r>
        <w:rPr>
          <w:rFonts w:ascii="Georgia" w:hAnsi="Georgia"/>
          <w:color w:val="333333"/>
        </w:rPr>
        <w:t xml:space="preserve">«Des pôles d'innovation dynamiques se multiplient dans le monde malgré la fragilité de l'économie mondiale. Ces pôles tirent parti des avantages présents localement tout en conservant une vision globale des marchés et des compétences», a déclaré le directeur général de l'OMPI, Francis </w:t>
      </w:r>
      <w:proofErr w:type="spellStart"/>
      <w:r>
        <w:rPr>
          <w:rFonts w:ascii="Georgia" w:hAnsi="Georgia"/>
          <w:color w:val="333333"/>
        </w:rPr>
        <w:t>Gurry</w:t>
      </w:r>
      <w:proofErr w:type="spellEnd"/>
      <w:r>
        <w:rPr>
          <w:rFonts w:ascii="Georgia" w:hAnsi="Georgia"/>
          <w:color w:val="333333"/>
        </w:rPr>
        <w:t>.</w:t>
      </w:r>
    </w:p>
    <w:p w:rsidR="004219A1" w:rsidRDefault="004219A1" w:rsidP="004219A1">
      <w:pPr>
        <w:shd w:val="clear" w:color="auto" w:fill="FFFFFF"/>
        <w:spacing w:before="100" w:beforeAutospacing="1" w:after="360" w:line="360" w:lineRule="atLeast"/>
        <w:jc w:val="both"/>
        <w:rPr>
          <w:rFonts w:ascii="Georgia" w:hAnsi="Georgia"/>
          <w:color w:val="333333"/>
        </w:rPr>
      </w:pPr>
      <w:r>
        <w:rPr>
          <w:rFonts w:ascii="Georgia" w:hAnsi="Georgia"/>
          <w:b/>
          <w:bCs/>
          <w:color w:val="333333"/>
        </w:rPr>
        <w:t>Source d'optimisme</w:t>
      </w:r>
    </w:p>
    <w:p w:rsidR="004219A1" w:rsidRDefault="004219A1" w:rsidP="004219A1">
      <w:pPr>
        <w:shd w:val="clear" w:color="auto" w:fill="FFFFFF"/>
        <w:spacing w:before="100" w:beforeAutospacing="1" w:after="360" w:line="360" w:lineRule="atLeast"/>
        <w:jc w:val="both"/>
        <w:rPr>
          <w:rFonts w:ascii="Georgia" w:hAnsi="Georgia"/>
          <w:color w:val="333333"/>
        </w:rPr>
      </w:pPr>
      <w:r>
        <w:rPr>
          <w:rFonts w:ascii="Georgia" w:hAnsi="Georgia"/>
          <w:color w:val="333333"/>
        </w:rPr>
        <w:t xml:space="preserve">Si le classement est dominé par les économies à revenus élevés, plusieurs nouveaux acteurs ont renforcé leurs capacités et leurs résultats en matière </w:t>
      </w:r>
      <w:proofErr w:type="spellStart"/>
      <w:r>
        <w:rPr>
          <w:rFonts w:ascii="Georgia" w:hAnsi="Georgia"/>
          <w:color w:val="333333"/>
        </w:rPr>
        <w:t>d«innovation</w:t>
      </w:r>
      <w:proofErr w:type="spellEnd"/>
      <w:r>
        <w:rPr>
          <w:rFonts w:ascii="Georgia" w:hAnsi="Georgia"/>
          <w:color w:val="333333"/>
        </w:rPr>
        <w:t xml:space="preserve">. Un groupe de pays dynamiques à faibles et moyens revenus, comprenant notamment la Chine (35e), le Costa Rica (39e), </w:t>
      </w:r>
      <w:proofErr w:type="spellStart"/>
      <w:r>
        <w:rPr>
          <w:rFonts w:ascii="Georgia" w:hAnsi="Georgia"/>
          <w:color w:val="333333"/>
        </w:rPr>
        <w:t>l«Inde</w:t>
      </w:r>
      <w:proofErr w:type="spellEnd"/>
      <w:r>
        <w:rPr>
          <w:rFonts w:ascii="Georgia" w:hAnsi="Georgia"/>
          <w:color w:val="333333"/>
        </w:rPr>
        <w:t xml:space="preserve"> (66e) et le Sénégal, prennent de la vitesse, selon l'étude.</w:t>
      </w:r>
    </w:p>
    <w:p w:rsidR="004219A1" w:rsidRDefault="004219A1" w:rsidP="004219A1">
      <w:pPr>
        <w:shd w:val="clear" w:color="auto" w:fill="FFFFFF"/>
        <w:spacing w:before="100" w:beforeAutospacing="1" w:after="360" w:line="360" w:lineRule="atLeast"/>
        <w:jc w:val="both"/>
        <w:rPr>
          <w:rFonts w:ascii="Georgia" w:hAnsi="Georgia"/>
          <w:color w:val="333333"/>
        </w:rPr>
      </w:pPr>
      <w:r>
        <w:rPr>
          <w:rFonts w:ascii="Georgia" w:hAnsi="Georgia"/>
          <w:color w:val="333333"/>
        </w:rPr>
        <w:t xml:space="preserve">«Les entreprises, les pouvoirs publics et la société civile offrent tous de nouvelles solutions de collaborer pour stimuler l'innovation aux niveaux local, national et mondial», a affirmé </w:t>
      </w:r>
      <w:r>
        <w:rPr>
          <w:rFonts w:ascii="Georgia" w:hAnsi="Georgia"/>
          <w:color w:val="333333"/>
        </w:rPr>
        <w:lastRenderedPageBreak/>
        <w:t>Bruno Lanvin, coéditeur du rapport et directeur exécutif de l'Initiative de compétitivité européenne de l'INSEAD.</w:t>
      </w:r>
    </w:p>
    <w:p w:rsidR="004219A1" w:rsidRDefault="004219A1" w:rsidP="004219A1">
      <w:pPr>
        <w:shd w:val="clear" w:color="auto" w:fill="FFFFFF"/>
        <w:spacing w:before="100" w:beforeAutospacing="1" w:after="360" w:line="360" w:lineRule="atLeast"/>
        <w:jc w:val="both"/>
        <w:rPr>
          <w:rFonts w:ascii="Georgia" w:hAnsi="Georgia"/>
          <w:color w:val="333333"/>
        </w:rPr>
      </w:pPr>
      <w:r>
        <w:rPr>
          <w:rFonts w:ascii="Georgia" w:hAnsi="Georgia"/>
          <w:color w:val="333333"/>
        </w:rPr>
        <w:t>«Bien que nos conclusions indiquent que des défis redoutables subsistent pour bon nombre de nouveaux intervenants, il existe aussi des exemples de réussite, y compris dans certains des pays les plus pauvres. C'est une source d'optimisme pour l'avenir de l'innovation mondiale et la reprise économique, a-t-il souligné.</w:t>
      </w:r>
    </w:p>
    <w:p w:rsidR="00F36260" w:rsidRPr="00C90A44" w:rsidRDefault="004219A1" w:rsidP="004219A1">
      <w:pPr>
        <w:jc w:val="both"/>
      </w:pPr>
      <w:r>
        <w:rPr>
          <w:rFonts w:ascii="Georgia" w:hAnsi="Georgia"/>
          <w:color w:val="333333"/>
        </w:rPr>
        <w:t>Les dépenses en recherche-développement des 1000 premières entreprises mondiales ont augmenté de près de 10% en 2010, 2011, et 2012, note le rapport. La hausse est la plus forte dans les marchés émergents, en particulier en Chine, Argentine, Brésil, Pologne, Inde, Russie, Turquie et Afrique du Sud, dans cet ordre.</w:t>
      </w:r>
    </w:p>
    <w:sectPr w:rsidR="00F36260" w:rsidRPr="00C90A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77405CA"/>
    <w:lvl w:ilvl="0">
      <w:start w:val="1"/>
      <w:numFmt w:val="decimal"/>
      <w:lvlText w:val="%1."/>
      <w:lvlJc w:val="left"/>
      <w:pPr>
        <w:tabs>
          <w:tab w:val="num" w:pos="1492"/>
        </w:tabs>
        <w:ind w:left="1492" w:hanging="360"/>
      </w:pPr>
    </w:lvl>
  </w:abstractNum>
  <w:abstractNum w:abstractNumId="1">
    <w:nsid w:val="FFFFFF7D"/>
    <w:multiLevelType w:val="singleLevel"/>
    <w:tmpl w:val="1C4CEF72"/>
    <w:lvl w:ilvl="0">
      <w:start w:val="1"/>
      <w:numFmt w:val="decimal"/>
      <w:lvlText w:val="%1."/>
      <w:lvlJc w:val="left"/>
      <w:pPr>
        <w:tabs>
          <w:tab w:val="num" w:pos="1209"/>
        </w:tabs>
        <w:ind w:left="1209" w:hanging="360"/>
      </w:pPr>
    </w:lvl>
  </w:abstractNum>
  <w:abstractNum w:abstractNumId="2">
    <w:nsid w:val="FFFFFF7E"/>
    <w:multiLevelType w:val="singleLevel"/>
    <w:tmpl w:val="CA6E5CC4"/>
    <w:lvl w:ilvl="0">
      <w:start w:val="1"/>
      <w:numFmt w:val="decimal"/>
      <w:lvlText w:val="%1."/>
      <w:lvlJc w:val="left"/>
      <w:pPr>
        <w:tabs>
          <w:tab w:val="num" w:pos="926"/>
        </w:tabs>
        <w:ind w:left="926" w:hanging="360"/>
      </w:pPr>
    </w:lvl>
  </w:abstractNum>
  <w:abstractNum w:abstractNumId="3">
    <w:nsid w:val="FFFFFF7F"/>
    <w:multiLevelType w:val="singleLevel"/>
    <w:tmpl w:val="0A8AAC20"/>
    <w:lvl w:ilvl="0">
      <w:start w:val="1"/>
      <w:numFmt w:val="decimal"/>
      <w:lvlText w:val="%1."/>
      <w:lvlJc w:val="left"/>
      <w:pPr>
        <w:tabs>
          <w:tab w:val="num" w:pos="643"/>
        </w:tabs>
        <w:ind w:left="643" w:hanging="360"/>
      </w:pPr>
    </w:lvl>
  </w:abstractNum>
  <w:abstractNum w:abstractNumId="4">
    <w:nsid w:val="FFFFFF80"/>
    <w:multiLevelType w:val="singleLevel"/>
    <w:tmpl w:val="8F2044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5202D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AAA462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8FC9F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FA2AF06"/>
    <w:lvl w:ilvl="0">
      <w:start w:val="1"/>
      <w:numFmt w:val="decimal"/>
      <w:lvlText w:val="%1."/>
      <w:lvlJc w:val="left"/>
      <w:pPr>
        <w:tabs>
          <w:tab w:val="num" w:pos="360"/>
        </w:tabs>
        <w:ind w:left="360" w:hanging="360"/>
      </w:pPr>
    </w:lvl>
  </w:abstractNum>
  <w:abstractNum w:abstractNumId="9">
    <w:nsid w:val="FFFFFF89"/>
    <w:multiLevelType w:val="singleLevel"/>
    <w:tmpl w:val="9B9E8B2C"/>
    <w:lvl w:ilvl="0">
      <w:start w:val="1"/>
      <w:numFmt w:val="bullet"/>
      <w:lvlText w:val=""/>
      <w:lvlJc w:val="left"/>
      <w:pPr>
        <w:tabs>
          <w:tab w:val="num" w:pos="360"/>
        </w:tabs>
        <w:ind w:left="360" w:hanging="360"/>
      </w:pPr>
      <w:rPr>
        <w:rFonts w:ascii="Symbol" w:hAnsi="Symbol" w:hint="default"/>
      </w:rPr>
    </w:lvl>
  </w:abstractNum>
  <w:abstractNum w:abstractNumId="10">
    <w:nsid w:val="232916EB"/>
    <w:multiLevelType w:val="multilevel"/>
    <w:tmpl w:val="100C0023"/>
    <w:lvl w:ilvl="0">
      <w:start w:val="1"/>
      <w:numFmt w:val="upperRoman"/>
      <w:pStyle w:val="Titre1"/>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263758C0"/>
    <w:multiLevelType w:val="multilevel"/>
    <w:tmpl w:val="10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A0A4874"/>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9A1"/>
    <w:rsid w:val="0013656C"/>
    <w:rsid w:val="004219A1"/>
    <w:rsid w:val="006B3802"/>
    <w:rsid w:val="00B65436"/>
    <w:rsid w:val="00BF49C4"/>
    <w:rsid w:val="00C90A44"/>
    <w:rsid w:val="00F36260"/>
    <w:rsid w:val="00F666F4"/>
    <w:rsid w:val="00FC4F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22"/>
        <w:szCs w:val="22"/>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19A1"/>
    <w:rPr>
      <w:rFonts w:ascii="Calibri" w:hAnsi="Calibri"/>
      <w:lang w:eastAsia="en-US"/>
    </w:rPr>
  </w:style>
  <w:style w:type="paragraph" w:styleId="Titre1">
    <w:name w:val="heading 1"/>
    <w:basedOn w:val="Normal"/>
    <w:next w:val="Normal"/>
    <w:link w:val="Titre1Car"/>
    <w:qFormat/>
    <w:rsid w:val="0013656C"/>
    <w:pPr>
      <w:keepNext/>
      <w:keepLines/>
      <w:numPr>
        <w:numId w:val="3"/>
      </w:numPr>
      <w:spacing w:before="480"/>
      <w:outlineLvl w:val="0"/>
    </w:pPr>
    <w:rPr>
      <w:rFonts w:ascii="Arial" w:eastAsiaTheme="majorEastAsia" w:hAnsi="Arial" w:cstheme="majorBidi"/>
      <w:b/>
      <w:bCs/>
      <w:sz w:val="24"/>
      <w:szCs w:val="28"/>
      <w:lang w:eastAsia="fr-CH"/>
    </w:rPr>
  </w:style>
  <w:style w:type="paragraph" w:styleId="Titre2">
    <w:name w:val="heading 2"/>
    <w:basedOn w:val="Normal"/>
    <w:link w:val="Titre2Car"/>
    <w:uiPriority w:val="9"/>
    <w:semiHidden/>
    <w:unhideWhenUsed/>
    <w:qFormat/>
    <w:rsid w:val="004219A1"/>
    <w:pPr>
      <w:spacing w:before="100" w:beforeAutospacing="1" w:after="92" w:line="277" w:lineRule="atLeast"/>
      <w:outlineLvl w:val="1"/>
    </w:pPr>
    <w:rPr>
      <w:rFonts w:ascii="Times New Roman" w:hAnsi="Times New Roman"/>
      <w:b/>
      <w:bCs/>
      <w:sz w:val="45"/>
      <w:szCs w:val="45"/>
      <w:lang w:eastAsia="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13656C"/>
    <w:rPr>
      <w:rFonts w:eastAsiaTheme="majorEastAsia" w:cstheme="majorBidi"/>
      <w:b/>
      <w:bCs/>
      <w:sz w:val="24"/>
      <w:szCs w:val="28"/>
    </w:rPr>
  </w:style>
  <w:style w:type="paragraph" w:styleId="Sous-titre">
    <w:name w:val="Subtitle"/>
    <w:basedOn w:val="Normal"/>
    <w:next w:val="Normal"/>
    <w:link w:val="Sous-titreCar"/>
    <w:qFormat/>
    <w:rsid w:val="00C90A44"/>
    <w:pPr>
      <w:numPr>
        <w:ilvl w:val="1"/>
      </w:numPr>
    </w:pPr>
    <w:rPr>
      <w:rFonts w:ascii="Arial" w:eastAsiaTheme="majorEastAsia" w:hAnsi="Arial" w:cstheme="majorBidi"/>
      <w:i/>
      <w:iCs/>
      <w:color w:val="4F81BD" w:themeColor="accent1"/>
      <w:spacing w:val="15"/>
      <w:szCs w:val="24"/>
      <w:lang w:eastAsia="fr-CH"/>
    </w:rPr>
  </w:style>
  <w:style w:type="character" w:customStyle="1" w:styleId="Sous-titreCar">
    <w:name w:val="Sous-titre Car"/>
    <w:basedOn w:val="Policepardfaut"/>
    <w:link w:val="Sous-titre"/>
    <w:rsid w:val="00C90A44"/>
    <w:rPr>
      <w:rFonts w:eastAsiaTheme="majorEastAsia" w:cstheme="majorBidi"/>
      <w:i/>
      <w:iCs/>
      <w:color w:val="4F81BD" w:themeColor="accent1"/>
      <w:spacing w:val="15"/>
      <w:szCs w:val="24"/>
    </w:rPr>
  </w:style>
  <w:style w:type="paragraph" w:styleId="Titre">
    <w:name w:val="Title"/>
    <w:basedOn w:val="Normal"/>
    <w:next w:val="Normal"/>
    <w:link w:val="TitreCar"/>
    <w:qFormat/>
    <w:rsid w:val="00C90A44"/>
    <w:pPr>
      <w:pBdr>
        <w:bottom w:val="single" w:sz="8" w:space="4" w:color="4F81BD" w:themeColor="accent1"/>
      </w:pBdr>
      <w:spacing w:after="300"/>
      <w:contextualSpacing/>
    </w:pPr>
    <w:rPr>
      <w:rFonts w:ascii="Arial" w:eastAsiaTheme="majorEastAsia" w:hAnsi="Arial" w:cstheme="majorBidi"/>
      <w:color w:val="17365D" w:themeColor="text2" w:themeShade="BF"/>
      <w:spacing w:val="5"/>
      <w:kern w:val="28"/>
      <w:sz w:val="52"/>
      <w:szCs w:val="52"/>
      <w:lang w:eastAsia="fr-CH"/>
    </w:rPr>
  </w:style>
  <w:style w:type="character" w:customStyle="1" w:styleId="TitreCar">
    <w:name w:val="Titre Car"/>
    <w:basedOn w:val="Policepardfaut"/>
    <w:link w:val="Titre"/>
    <w:rsid w:val="00C90A44"/>
    <w:rPr>
      <w:rFonts w:eastAsiaTheme="majorEastAsia" w:cstheme="majorBidi"/>
      <w:color w:val="17365D" w:themeColor="text2" w:themeShade="BF"/>
      <w:spacing w:val="5"/>
      <w:kern w:val="28"/>
      <w:sz w:val="52"/>
      <w:szCs w:val="52"/>
    </w:rPr>
  </w:style>
  <w:style w:type="character" w:customStyle="1" w:styleId="Titre2Car">
    <w:name w:val="Titre 2 Car"/>
    <w:basedOn w:val="Policepardfaut"/>
    <w:link w:val="Titre2"/>
    <w:uiPriority w:val="9"/>
    <w:semiHidden/>
    <w:rsid w:val="004219A1"/>
    <w:rPr>
      <w:rFonts w:ascii="Times New Roman" w:hAnsi="Times New Roman"/>
      <w:b/>
      <w:bCs/>
      <w:sz w:val="45"/>
      <w:szCs w:val="45"/>
    </w:rPr>
  </w:style>
  <w:style w:type="character" w:styleId="Lienhypertexte">
    <w:name w:val="Hyperlink"/>
    <w:basedOn w:val="Policepardfaut"/>
    <w:uiPriority w:val="99"/>
    <w:unhideWhenUsed/>
    <w:rsid w:val="004219A1"/>
    <w:rPr>
      <w:rFonts w:ascii="Times New Roman" w:hAnsi="Times New Roman" w:cs="Times New Roman" w:hint="default"/>
      <w:color w:val="0000FF"/>
      <w:u w:val="single"/>
      <w14:textFill>
        <w14:solidFill>
          <w14:srgbClr w14:val="000000"/>
        </w14:solidFill>
      </w14:textFill>
    </w:rPr>
  </w:style>
  <w:style w:type="paragraph" w:customStyle="1" w:styleId="teaser1">
    <w:name w:val="teaser1"/>
    <w:basedOn w:val="Normal"/>
    <w:rsid w:val="004219A1"/>
    <w:pPr>
      <w:spacing w:before="100" w:beforeAutospacing="1" w:after="360" w:line="360" w:lineRule="atLeast"/>
    </w:pPr>
    <w:rPr>
      <w:rFonts w:ascii="Times New Roman" w:hAnsi="Times New Roman"/>
      <w:b/>
      <w:bCs/>
      <w:sz w:val="27"/>
      <w:szCs w:val="27"/>
      <w:lang w:eastAsia="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22"/>
        <w:szCs w:val="22"/>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19A1"/>
    <w:rPr>
      <w:rFonts w:ascii="Calibri" w:hAnsi="Calibri"/>
      <w:lang w:eastAsia="en-US"/>
    </w:rPr>
  </w:style>
  <w:style w:type="paragraph" w:styleId="Titre1">
    <w:name w:val="heading 1"/>
    <w:basedOn w:val="Normal"/>
    <w:next w:val="Normal"/>
    <w:link w:val="Titre1Car"/>
    <w:qFormat/>
    <w:rsid w:val="0013656C"/>
    <w:pPr>
      <w:keepNext/>
      <w:keepLines/>
      <w:numPr>
        <w:numId w:val="3"/>
      </w:numPr>
      <w:spacing w:before="480"/>
      <w:outlineLvl w:val="0"/>
    </w:pPr>
    <w:rPr>
      <w:rFonts w:ascii="Arial" w:eastAsiaTheme="majorEastAsia" w:hAnsi="Arial" w:cstheme="majorBidi"/>
      <w:b/>
      <w:bCs/>
      <w:sz w:val="24"/>
      <w:szCs w:val="28"/>
      <w:lang w:eastAsia="fr-CH"/>
    </w:rPr>
  </w:style>
  <w:style w:type="paragraph" w:styleId="Titre2">
    <w:name w:val="heading 2"/>
    <w:basedOn w:val="Normal"/>
    <w:link w:val="Titre2Car"/>
    <w:uiPriority w:val="9"/>
    <w:semiHidden/>
    <w:unhideWhenUsed/>
    <w:qFormat/>
    <w:rsid w:val="004219A1"/>
    <w:pPr>
      <w:spacing w:before="100" w:beforeAutospacing="1" w:after="92" w:line="277" w:lineRule="atLeast"/>
      <w:outlineLvl w:val="1"/>
    </w:pPr>
    <w:rPr>
      <w:rFonts w:ascii="Times New Roman" w:hAnsi="Times New Roman"/>
      <w:b/>
      <w:bCs/>
      <w:sz w:val="45"/>
      <w:szCs w:val="45"/>
      <w:lang w:eastAsia="fr-CH"/>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13656C"/>
    <w:rPr>
      <w:rFonts w:eastAsiaTheme="majorEastAsia" w:cstheme="majorBidi"/>
      <w:b/>
      <w:bCs/>
      <w:sz w:val="24"/>
      <w:szCs w:val="28"/>
    </w:rPr>
  </w:style>
  <w:style w:type="paragraph" w:styleId="Sous-titre">
    <w:name w:val="Subtitle"/>
    <w:basedOn w:val="Normal"/>
    <w:next w:val="Normal"/>
    <w:link w:val="Sous-titreCar"/>
    <w:qFormat/>
    <w:rsid w:val="00C90A44"/>
    <w:pPr>
      <w:numPr>
        <w:ilvl w:val="1"/>
      </w:numPr>
    </w:pPr>
    <w:rPr>
      <w:rFonts w:ascii="Arial" w:eastAsiaTheme="majorEastAsia" w:hAnsi="Arial" w:cstheme="majorBidi"/>
      <w:i/>
      <w:iCs/>
      <w:color w:val="4F81BD" w:themeColor="accent1"/>
      <w:spacing w:val="15"/>
      <w:szCs w:val="24"/>
      <w:lang w:eastAsia="fr-CH"/>
    </w:rPr>
  </w:style>
  <w:style w:type="character" w:customStyle="1" w:styleId="Sous-titreCar">
    <w:name w:val="Sous-titre Car"/>
    <w:basedOn w:val="Policepardfaut"/>
    <w:link w:val="Sous-titre"/>
    <w:rsid w:val="00C90A44"/>
    <w:rPr>
      <w:rFonts w:eastAsiaTheme="majorEastAsia" w:cstheme="majorBidi"/>
      <w:i/>
      <w:iCs/>
      <w:color w:val="4F81BD" w:themeColor="accent1"/>
      <w:spacing w:val="15"/>
      <w:szCs w:val="24"/>
    </w:rPr>
  </w:style>
  <w:style w:type="paragraph" w:styleId="Titre">
    <w:name w:val="Title"/>
    <w:basedOn w:val="Normal"/>
    <w:next w:val="Normal"/>
    <w:link w:val="TitreCar"/>
    <w:qFormat/>
    <w:rsid w:val="00C90A44"/>
    <w:pPr>
      <w:pBdr>
        <w:bottom w:val="single" w:sz="8" w:space="4" w:color="4F81BD" w:themeColor="accent1"/>
      </w:pBdr>
      <w:spacing w:after="300"/>
      <w:contextualSpacing/>
    </w:pPr>
    <w:rPr>
      <w:rFonts w:ascii="Arial" w:eastAsiaTheme="majorEastAsia" w:hAnsi="Arial" w:cstheme="majorBidi"/>
      <w:color w:val="17365D" w:themeColor="text2" w:themeShade="BF"/>
      <w:spacing w:val="5"/>
      <w:kern w:val="28"/>
      <w:sz w:val="52"/>
      <w:szCs w:val="52"/>
      <w:lang w:eastAsia="fr-CH"/>
    </w:rPr>
  </w:style>
  <w:style w:type="character" w:customStyle="1" w:styleId="TitreCar">
    <w:name w:val="Titre Car"/>
    <w:basedOn w:val="Policepardfaut"/>
    <w:link w:val="Titre"/>
    <w:rsid w:val="00C90A44"/>
    <w:rPr>
      <w:rFonts w:eastAsiaTheme="majorEastAsia" w:cstheme="majorBidi"/>
      <w:color w:val="17365D" w:themeColor="text2" w:themeShade="BF"/>
      <w:spacing w:val="5"/>
      <w:kern w:val="28"/>
      <w:sz w:val="52"/>
      <w:szCs w:val="52"/>
    </w:rPr>
  </w:style>
  <w:style w:type="character" w:customStyle="1" w:styleId="Titre2Car">
    <w:name w:val="Titre 2 Car"/>
    <w:basedOn w:val="Policepardfaut"/>
    <w:link w:val="Titre2"/>
    <w:uiPriority w:val="9"/>
    <w:semiHidden/>
    <w:rsid w:val="004219A1"/>
    <w:rPr>
      <w:rFonts w:ascii="Times New Roman" w:hAnsi="Times New Roman"/>
      <w:b/>
      <w:bCs/>
      <w:sz w:val="45"/>
      <w:szCs w:val="45"/>
    </w:rPr>
  </w:style>
  <w:style w:type="character" w:styleId="Lienhypertexte">
    <w:name w:val="Hyperlink"/>
    <w:basedOn w:val="Policepardfaut"/>
    <w:uiPriority w:val="99"/>
    <w:unhideWhenUsed/>
    <w:rsid w:val="004219A1"/>
    <w:rPr>
      <w:rFonts w:ascii="Times New Roman" w:hAnsi="Times New Roman" w:cs="Times New Roman" w:hint="default"/>
      <w:color w:val="0000FF"/>
      <w:u w:val="single"/>
      <w14:textFill>
        <w14:solidFill>
          <w14:srgbClr w14:val="000000"/>
        </w14:solidFill>
      </w14:textFill>
    </w:rPr>
  </w:style>
  <w:style w:type="paragraph" w:customStyle="1" w:styleId="teaser1">
    <w:name w:val="teaser1"/>
    <w:basedOn w:val="Normal"/>
    <w:rsid w:val="004219A1"/>
    <w:pPr>
      <w:spacing w:before="100" w:beforeAutospacing="1" w:after="360" w:line="360" w:lineRule="atLeast"/>
    </w:pPr>
    <w:rPr>
      <w:rFonts w:ascii="Times New Roman" w:hAnsi="Times New Roman"/>
      <w:b/>
      <w:bCs/>
      <w:sz w:val="27"/>
      <w:szCs w:val="27"/>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087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po.int/portal/index.html.fr" TargetMode="External"/><Relationship Id="rId3" Type="http://schemas.openxmlformats.org/officeDocument/2006/relationships/styles" Target="styles.xml"/><Relationship Id="rId7" Type="http://schemas.openxmlformats.org/officeDocument/2006/relationships/hyperlink" Target="http://www.tdg.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181A3-4998-4719-8462-051836E0D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F5502F26.dotm</Template>
  <TotalTime>1</TotalTime>
  <Pages>2</Pages>
  <Words>430</Words>
  <Characters>2369</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Etat de Genève</Company>
  <LinksUpToDate>false</LinksUpToDate>
  <CharactersWithSpaces>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Homère Anna (DARES)</dc:creator>
  <cp:lastModifiedBy>Homère Anna (DARES)</cp:lastModifiedBy>
  <cp:revision>1</cp:revision>
  <dcterms:created xsi:type="dcterms:W3CDTF">2013-07-25T16:29:00Z</dcterms:created>
  <dcterms:modified xsi:type="dcterms:W3CDTF">2013-07-25T16:30:00Z</dcterms:modified>
</cp:coreProperties>
</file>